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2" w:rsidRPr="001E5AB7" w:rsidRDefault="00505CC2" w:rsidP="0050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C"/>
          <w:sz w:val="40"/>
          <w:szCs w:val="40"/>
          <w:lang w:eastAsia="tr-TR"/>
        </w:rPr>
      </w:pPr>
      <w:r w:rsidRPr="001E5AB7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tr-TR"/>
        </w:rPr>
        <w:t>Öğrenim Protokolünün Hazırlanması</w:t>
      </w:r>
    </w:p>
    <w:p w:rsidR="00505CC2" w:rsidRPr="001E5AB7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Öğrencinin ÇAKÜ’de</w:t>
      </w:r>
      <w:bookmarkStart w:id="0" w:name="_GoBack"/>
      <w:bookmarkEnd w:id="0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öğrenimine devamı durumunda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Güz ve Bahar Dönemlerinde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almakla yükümlü olduğu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Dersler ve 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redileri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(AKTS), Öğrenim Protokolünün sağındaki </w:t>
      </w:r>
      <w:r w:rsidRPr="003E0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Gönderen Kurum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kısmındaki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E5AB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“Sayılacak Dersler”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sütununa yazılır. Derslerin belirlenmesinde, alttan alınması gereken dersler varsa, bunlara öncelik verilmelidir.</w:t>
      </w:r>
    </w:p>
    <w:p w:rsidR="00505CC2" w:rsidRPr="001E5AB7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Öğrenim Protokolünün solundaki </w:t>
      </w:r>
      <w:r w:rsidRPr="003E0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Kabul Eden Kurum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kısmına da Sayılacak Derslerin karşılığı olan, D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ers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ler ve 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redileri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(AKTS)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belirlenir ve bu dersler Öğrenim Protokolündeki </w:t>
      </w:r>
      <w:r w:rsidRPr="001E5AB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“Alınacak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E5AB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Dersler”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sütununa yazılır. Alınacak dersler, gidilen yükseköğretim kurum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unda alt veya üst yarıyıllardan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seçilmiş olabilir.</w:t>
      </w:r>
    </w:p>
    <w:p w:rsidR="00505CC2" w:rsidRPr="001E5AB7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Sayılacak Zorunlu Dersin / D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erslerin karşılığının bulunamaması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durumunda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;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içeriği, müfredatı benzer olan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bir ders aranır. İçerik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Müfredat olarak da uygun bir dersin bulunamaması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durumunda, b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u Ders / D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ersler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Öğrenim Protokolü’nden silinir. Alınamayan zorunlu Ders / Dersler alta kalmış olmuş. Bu durumda, öğrencinin </w:t>
      </w: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’den</w:t>
      </w:r>
      <w:proofErr w:type="spellEnd"/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mezun olması için alması zorunlu derslerin tamamı dikkate alınarak,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üst sınıftan almak zorunda olduğu başka bir zorunlu Ders / Dersler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gidilen kurumun der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 programından karşılığı bulunmak şartıyla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belirlenir. Bu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Ders / Dersler, öğrencinin daha önce ÇAKÜ’de almış olduğu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başardığı derslerden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olamaz</w:t>
      </w:r>
      <w:proofErr w:type="gramStart"/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.!</w:t>
      </w:r>
      <w:proofErr w:type="gramEnd"/>
    </w:p>
    <w:p w:rsidR="00505CC2" w:rsidRPr="003E0AF6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Gidilen Üniversitede Alınacak Derslerin toplam 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redisinin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(AKTS) </w:t>
      </w: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ÇAKÜ’deki</w:t>
      </w:r>
      <w:proofErr w:type="spellEnd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Sayılacak Derslerin toplam 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redisinden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(AKTS) düşük olması durumunda, eksik K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redi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(AKTS)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mutlak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a tamamlanmalıdır. Bunun için, Gidilen Üniversiteden Seçmeli Ders / D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ersler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alınarak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ğrenim Protokolü’ne eklenmelidir.</w:t>
      </w:r>
    </w:p>
    <w:p w:rsidR="00505CC2" w:rsidRPr="003E0AF6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Karşılıklı eşleştirilen Dersin / Derslerin Kredileri (AKTS) aynı olmayabilir. </w:t>
      </w: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ÇAKÜ’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bir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Dersin / Derslerin Kredisi (AKTS) yüksekse ve eşleştirilen Dersin / Derslerin Kredisi (AK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TS) düşüks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e, bu durumda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gidilen üniversitede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benzer Seçmeli Derslerden bir Ders daha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alınıp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2. bir Ders olarak eşleştirilebilir. Yani </w:t>
      </w: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ÇAKÜ’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Zorunlu bir derse, k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arşı üniversiteden iki ders eşleştirilmiş olur. </w:t>
      </w:r>
    </w:p>
    <w:p w:rsidR="00505CC2" w:rsidRPr="001E5AB7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ÇAKÜ’deki</w:t>
      </w:r>
      <w:proofErr w:type="spellEnd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zorunlu bir Dersin / Derslerin aynısının, gidilecek üniversitenin seçmeli Derslerinin arasında olmasında herhangi bir sakınca yoktur. Burada dikkat edilmesi gereken, gidilecek üniversitedeki eşleştirilen seçmeli Dersin / Derslerin açılacağından emin olunmasıdır</w:t>
      </w:r>
      <w:proofErr w:type="gram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.!</w:t>
      </w:r>
      <w:proofErr w:type="gramEnd"/>
    </w:p>
    <w:p w:rsidR="00505CC2" w:rsidRDefault="00505CC2" w:rsidP="00505C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Öğrenim Protokolü Güz ve Bahar Dönemleri için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ayrı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ayrı 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olarak hazırlanmalıdır. Aksi halde, dönemlik sistem uygulanan birimlerde yıllık protokol hazırlayan öğrenciler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in, ikinci yarıyıl haklarından Feragat ederek </w:t>
      </w:r>
      <w:proofErr w:type="spellStart"/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ÇAKÜ’y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>e</w:t>
      </w:r>
      <w:proofErr w:type="spellEnd"/>
      <w:r w:rsidRPr="001E5AB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dönmeleri halinde önemli sorunlara yol açacaktır. Ancak, zorunlu hallerde Öğrenim Protokolü yıllık da yapılabilir.</w:t>
      </w:r>
    </w:p>
    <w:p w:rsidR="00505CC2" w:rsidRDefault="00505CC2" w:rsidP="00505CC2">
      <w:pPr>
        <w:pStyle w:val="ListeParagraf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Yukarıda anlatılan Öğrenim Protokolünün Hazırlanması aşamalarını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örsel olarak görmek için, ekteki </w:t>
      </w:r>
      <w:r w:rsidRPr="003E0AF6">
        <w:rPr>
          <w:rFonts w:ascii="Times New Roman" w:eastAsia="Times New Roman" w:hAnsi="Times New Roman" w:cs="Times New Roman"/>
          <w:sz w:val="28"/>
          <w:szCs w:val="28"/>
          <w:lang w:eastAsia="tr-TR"/>
        </w:rPr>
        <w:t>Örnek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olarak sunulan Güz ve Bahar Dönemleri Protokollerini inceleyebilirsiniz…</w:t>
      </w:r>
    </w:p>
    <w:p w:rsidR="00563455" w:rsidRPr="00505CC2" w:rsidRDefault="00505CC2" w:rsidP="00505C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tr-TR"/>
        </w:rPr>
      </w:pPr>
      <w:r w:rsidRPr="00AE0444">
        <w:rPr>
          <w:rFonts w:ascii="Times New Roman" w:eastAsia="Times New Roman" w:hAnsi="Times New Roman" w:cs="Times New Roman"/>
          <w:i/>
          <w:color w:val="660066"/>
          <w:sz w:val="28"/>
          <w:szCs w:val="28"/>
          <w:lang w:eastAsia="tr-TR"/>
        </w:rPr>
        <w:t>. . . Hepinize Başarılar Diler, Verimli Bir Yıl Geçirmenizi Temenni Ederiz . . .                  Çankırı Karatekin Üniversitesi Farabi Değişim Programı Koordinatörlüğü</w:t>
      </w:r>
    </w:p>
    <w:sectPr w:rsidR="00563455" w:rsidRPr="00505CC2" w:rsidSect="00505CC2">
      <w:pgSz w:w="11906" w:h="16838"/>
      <w:pgMar w:top="737" w:right="73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F6"/>
    <w:multiLevelType w:val="multilevel"/>
    <w:tmpl w:val="F122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C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B750D"/>
    <w:multiLevelType w:val="hybridMultilevel"/>
    <w:tmpl w:val="44ACFF18"/>
    <w:lvl w:ilvl="0" w:tplc="F1283C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E"/>
    <w:rsid w:val="00031FEE"/>
    <w:rsid w:val="000338FB"/>
    <w:rsid w:val="00505CC2"/>
    <w:rsid w:val="005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2019-04-25T14:29:00Z</dcterms:created>
  <dcterms:modified xsi:type="dcterms:W3CDTF">2019-04-25T14:33:00Z</dcterms:modified>
</cp:coreProperties>
</file>